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48180" w14:textId="77777777" w:rsidR="00C705BE" w:rsidRDefault="00372900">
      <w:pPr>
        <w:pStyle w:val="Parahead"/>
        <w:rPr>
          <w:rFonts w:ascii="Arial" w:hAnsi="Arial"/>
        </w:rPr>
      </w:pPr>
      <w:r>
        <w:rPr>
          <w:rFonts w:ascii="Arial" w:hAnsi="Arial"/>
        </w:rPr>
        <w:t>P</w:t>
      </w:r>
      <w:r w:rsidR="00C705BE">
        <w:rPr>
          <w:rFonts w:ascii="Arial" w:hAnsi="Arial"/>
        </w:rPr>
        <w:t xml:space="preserve">resentation </w:t>
      </w:r>
      <w:r>
        <w:rPr>
          <w:rFonts w:ascii="Arial" w:hAnsi="Arial"/>
        </w:rPr>
        <w:t xml:space="preserve">A </w:t>
      </w:r>
      <w:r w:rsidR="00C705BE">
        <w:rPr>
          <w:rFonts w:ascii="Arial" w:hAnsi="Arial"/>
        </w:rPr>
        <w:t>on hepatic effects of Drug X</w:t>
      </w:r>
    </w:p>
    <w:p w14:paraId="20848181" w14:textId="77777777" w:rsidR="00C705BE" w:rsidRDefault="00C705BE">
      <w:pPr>
        <w:pStyle w:val="Para"/>
      </w:pPr>
      <w:r>
        <w:t>In preclinical studies, effects typical of macrolide antibiotics were observed with Drug X. In rat, dog, and monkey toxicity studies, elevations of liver enzymes associated with histological correlates of liver cytolysis were noted at high doses in some but not all studies. These effects were slight, dose related and fully reversible during the recovery periods.  The No Observed Adverse Effect Level (NOAEL) of 50 mg/kg/day in the rat and dog was constant across studies, whatever their duration of treatment, and there were no new signs or aggravation of toxicity with longer treatment.  Studies conducted to assess the tissue distribution of Drug X in rats showed no accumulation of Drug X in the liver.  Drug X, clarithromycin, and roxithromycin behaved similarly in terms of uptake into and efflux from in vitro cultured hepatocytes of mouse, rat, dog, monkey, and human.  Azithromycin was more concentrated in mouse, rat, and dog hepatocytes and its efflux was slower than that of other compounds.</w:t>
      </w:r>
    </w:p>
    <w:p w14:paraId="20848182" w14:textId="77777777" w:rsidR="00C705BE" w:rsidRDefault="00C705BE">
      <w:pPr>
        <w:pStyle w:val="Para"/>
      </w:pPr>
      <w:r>
        <w:t xml:space="preserve">An in vitro study with human liver microsomes showed Drug X to undergo slightly less covalent binding to microsomal proteins than clarithromycin or azithromycin. The potential for Drug X to form </w:t>
      </w:r>
      <w:proofErr w:type="spellStart"/>
      <w:r>
        <w:t>nitrosoalkane</w:t>
      </w:r>
      <w:proofErr w:type="spellEnd"/>
      <w:r>
        <w:t xml:space="preserve"> complexes with the hepatic enzyme system cytochrome P450 was assessed and showed no </w:t>
      </w:r>
      <w:proofErr w:type="spellStart"/>
      <w:r>
        <w:t>nitrosoalkane</w:t>
      </w:r>
      <w:proofErr w:type="spellEnd"/>
      <w:r>
        <w:t xml:space="preserve"> complex was formed.  Drug X did not induce cytochrome P450 complex formation using a hepatic microsomal suspension from dexamethasone-treated rats.  </w:t>
      </w:r>
    </w:p>
    <w:p w14:paraId="20848183" w14:textId="77777777" w:rsidR="00C705BE" w:rsidRDefault="00C705BE">
      <w:pPr>
        <w:pStyle w:val="Para"/>
      </w:pPr>
      <w:r>
        <w:t>The selected dose of Drug X for the clinical program was 800 mg once daily.  In Phase I studies, doses up to 3200 mg were investigated.  The elderly were studied at escalating doses up to 2000 mg in a Phase I study. Single escalating oral doses of Drug X at 1200, 1600, and 2000 mg in elderly subjects (age range 60-72 years), with interspersed placebo, were administered in a 4-period, double-blind, placebo-controlled study with 8 subjects.  Subjects then received multiple doses of the maximum tolerated dose for 5 days. Generally, the number of subjects with TEAEs increased with dose.  The most frequent adverse events possibly related to Drug X were gastrointestinal effects (nausea and diarrhea).  There were no serious adverse events.  No subjects were discontinued due to TEAEs.</w:t>
      </w:r>
    </w:p>
    <w:p w14:paraId="20848184" w14:textId="77777777" w:rsidR="00C705BE" w:rsidRDefault="00C705BE">
      <w:pPr>
        <w:pStyle w:val="Para"/>
      </w:pPr>
      <w:r>
        <w:t>Almost all reports of hepatic adverse events in Phase III studies refer to asymptomatic liver enzyme abnormalities, which were generally mild and reversible.  The frequency of these hepatic adverse events was well balanced between Drug X and active comparators.</w:t>
      </w:r>
      <w:r>
        <w:rPr>
          <w:spacing w:val="-3"/>
        </w:rPr>
        <w:t xml:space="preserve">  The incidence of treatment-related hepatic adverse events in comparative studies was well balanced between Drug X (40/2045 subjects, 2.0%) and comparators (33/1672 subjects, 2.0%).  In addition, there was no imbalance in the occurrence of hepatic adverse events leading to discontinuation (0.5% for both Drug X and comparators).</w:t>
      </w:r>
    </w:p>
    <w:p w14:paraId="20848185" w14:textId="77777777" w:rsidR="00C705BE" w:rsidRDefault="00C705BE">
      <w:pPr>
        <w:pStyle w:val="Para"/>
        <w:rPr>
          <w:spacing w:val="-3"/>
        </w:rPr>
      </w:pPr>
      <w:r>
        <w:t>In all studies, serious hepatic adverse events occurred in 3 of 3265 (0.1%) subjects treated with Drug X and 1 of 1672 (0.1%) subjects treated with comparator.  The three serious hepatic TEAEs in the Drug X subjects consisted of one asymptomatic case that had been improving dramatically (as shown by transaminase levels) prior to discontinuation of Drug X, a subject with significant ethanol intake during the study period as a plausible alternative explanation, and an apparent hypersensitivity in a subject with abnormal baseline transaminases who experienced a second episode 9 months later without treatment with Drug X or other macrolides.  In the comparator group, jaundice was observed in one subject receiving clarithromycin.</w:t>
      </w:r>
    </w:p>
    <w:p w14:paraId="20848186" w14:textId="77777777" w:rsidR="00C705BE" w:rsidRDefault="00C705BE">
      <w:pPr>
        <w:pStyle w:val="Para"/>
        <w:rPr>
          <w:spacing w:val="-3"/>
        </w:rPr>
      </w:pPr>
      <w:r>
        <w:rPr>
          <w:spacing w:val="-3"/>
        </w:rPr>
        <w:t>One of the serious hepatic events occurred in a Drug X-treated subject in an uncontrolled study. A 53</w:t>
      </w:r>
      <w:r>
        <w:rPr>
          <w:spacing w:val="-3"/>
        </w:rPr>
        <w:noBreakHyphen/>
        <w:t>year</w:t>
      </w:r>
      <w:r>
        <w:rPr>
          <w:spacing w:val="-3"/>
        </w:rPr>
        <w:noBreakHyphen/>
        <w:t xml:space="preserve">old male treated for community-acquired pneumonia (CAP) in </w:t>
      </w:r>
      <w:smartTag w:uri="urn:schemas-microsoft-com:office:smarttags" w:element="country-region">
        <w:smartTag w:uri="urn:schemas-microsoft-com:office:smarttags" w:element="place">
          <w:r>
            <w:rPr>
              <w:spacing w:val="-3"/>
            </w:rPr>
            <w:t>Finland</w:t>
          </w:r>
        </w:smartTag>
      </w:smartTag>
      <w:r>
        <w:rPr>
          <w:spacing w:val="-3"/>
        </w:rPr>
        <w:t xml:space="preserve"> was enrolled with elevated transaminases and elevated eosinophils at baseline.  He had a history of diabetes, asthma and </w:t>
      </w:r>
      <w:r>
        <w:rPr>
          <w:spacing w:val="-3"/>
        </w:rPr>
        <w:lastRenderedPageBreak/>
        <w:t xml:space="preserve">three previous courses of macrolides in the previous year.  Four days after the end of treatment with Drug X, he had an episode of gastritis similar to that observed in several members of his family but this episode was followed by fever and alanine aminotransferase (ALT) increase with a peak to approximately 1500 U/L eight days later.  A biopsy six days after peak ALT levels were recorded showed centrilobular process and plasma cell infiltration with those inner fields.  ALT returned to baseline levels approximately eight weeks later.  The subject presented with a second episode of ALT increase nine months after the first episode with a peak at around 1300 U/L.  A second biopsy, performed seven weeks after the peak ALT, showed centrilobular hepatic cell depletion without frank necrosis, plasma cell infiltration and fibrosis.  </w:t>
      </w:r>
    </w:p>
    <w:p w14:paraId="20848187" w14:textId="77777777" w:rsidR="00C705BE" w:rsidRDefault="00C705BE">
      <w:pPr>
        <w:pStyle w:val="Para"/>
        <w:rPr>
          <w:spacing w:val="-3"/>
        </w:rPr>
      </w:pPr>
      <w:r>
        <w:rPr>
          <w:spacing w:val="-3"/>
        </w:rPr>
        <w:t xml:space="preserve">In summary, this subject with ALT and eosinophil increase at baseline presented two episodes of transaminase increase with return to baseline after the first episode and a second episode occurring nine months later.  To our knowledge there has been no published report of drug-induced liver injury or two distant episodes that were triggered by one drug intake.  Therefore, we believe it is unlikely that Drug X is the etiology of the hepatitis episode observed in this patient.  </w:t>
      </w:r>
    </w:p>
    <w:p w14:paraId="20848188" w14:textId="77777777" w:rsidR="00C705BE" w:rsidRDefault="00C705BE">
      <w:pPr>
        <w:pStyle w:val="Para"/>
        <w:rPr>
          <w:spacing w:val="-3"/>
        </w:rPr>
      </w:pPr>
      <w:r>
        <w:rPr>
          <w:spacing w:val="-3"/>
        </w:rPr>
        <w:t xml:space="preserve">The effect on hepatic enzymes was also evaluated in Phase III studies and data for ALT increases &gt;3x the upper limit of normal (ULN) are summarized for controlled studies.  The rate of ALT increase was similar between Drug X (0.5%) and the comparators (0.4%) in subjects with normal transaminase levels at baseline. In those with elevated transaminases at baseline, who were mainly enrolled in CAP studies, the frequency of ALT &gt;3 x ULN was 8.5% for Drug X and 11.1% for the comparators.  </w:t>
      </w:r>
    </w:p>
    <w:p w14:paraId="20848189" w14:textId="77777777" w:rsidR="00C705BE" w:rsidRDefault="00C705BE">
      <w:pPr>
        <w:pStyle w:val="Para"/>
        <w:rPr>
          <w:spacing w:val="-3"/>
        </w:rPr>
      </w:pPr>
      <w:r>
        <w:rPr>
          <w:spacing w:val="-3"/>
        </w:rPr>
        <w:t xml:space="preserve">As ALT increase is more frequently observed in pneumonia, data were also analyzed separately for subjects in controlled pneumonia studies and non-pneumonia studies.  In CAP subjects with normal transaminase levels at baseline, there was a small difference in the frequency of ALT increase &gt;2x ULN (2.5% Drug X vs. 1.0% comparator) similar to what is observed with a macrolide; no signal was observed for ALT &gt;3x ULN (0.8% Drug X vs. 0.5% comparator).  </w:t>
      </w:r>
    </w:p>
    <w:p w14:paraId="2084818A" w14:textId="77777777" w:rsidR="00C705BE" w:rsidRDefault="00C705BE">
      <w:pPr>
        <w:pStyle w:val="Para"/>
        <w:rPr>
          <w:spacing w:val="-3"/>
        </w:rPr>
      </w:pPr>
      <w:r>
        <w:rPr>
          <w:spacing w:val="-3"/>
        </w:rPr>
        <w:t xml:space="preserve">There were no cases of transaminase increase of &gt;3x ULN and bilirubin &gt;1.5x ULN.  </w:t>
      </w:r>
    </w:p>
    <w:p w14:paraId="2084818B" w14:textId="77777777" w:rsidR="00C705BE" w:rsidRDefault="00C705BE">
      <w:pPr>
        <w:pStyle w:val="Para"/>
      </w:pPr>
      <w:r>
        <w:rPr>
          <w:spacing w:val="-3"/>
        </w:rPr>
        <w:t xml:space="preserve">To summarize, </w:t>
      </w:r>
      <w:r>
        <w:t>the safety profile of Drug X demonstrated from preclinical studies was similar to that of marketed macrolides.  Liver function abnormalities, which were generally mild and reversible, occurred at the same low frequency and intensity for Drug X as with other antibiotics used as active comparators in the clinical development program.  Hepatic adverse events, which in general represented asymptomatic liver enzyme abnormalities, were well balanced between Drug X and active comparators.  Populations at risk, such as the elderly and patients with renal or hepatic insufficiency, did not display an increased risk for hepatic injury with Drug X treatment.</w:t>
      </w:r>
    </w:p>
    <w:sectPr w:rsidR="00C705BE">
      <w:headerReference w:type="default" r:id="rId7"/>
      <w:footerReference w:type="default" r:id="rId8"/>
      <w:pgSz w:w="11907" w:h="16839" w:code="9"/>
      <w:pgMar w:top="1800" w:right="1109" w:bottom="2074" w:left="1800" w:header="1152" w:footer="1555"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4818E" w14:textId="77777777" w:rsidR="008B0BE9" w:rsidRDefault="008B0BE9">
      <w:r>
        <w:separator/>
      </w:r>
    </w:p>
  </w:endnote>
  <w:endnote w:type="continuationSeparator" w:id="0">
    <w:p w14:paraId="2084818F" w14:textId="77777777" w:rsidR="008B0BE9" w:rsidRDefault="008B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48193" w14:textId="6561CF06" w:rsidR="0085578E" w:rsidRDefault="0068795F">
    <w:pPr>
      <w:pStyle w:val="Footer"/>
      <w:rPr>
        <w:sz w:val="12"/>
      </w:rPr>
    </w:pPr>
    <w:r>
      <w:rPr>
        <w:noProof/>
        <w:sz w:val="12"/>
      </w:rPr>
      <w:fldChar w:fldCharType="begin"/>
    </w:r>
    <w:r>
      <w:rPr>
        <w:noProof/>
        <w:sz w:val="12"/>
      </w:rPr>
      <w:instrText xml:space="preserve"> FILENAME  \* MERGEFORMAT </w:instrText>
    </w:r>
    <w:r>
      <w:rPr>
        <w:noProof/>
        <w:sz w:val="12"/>
      </w:rPr>
      <w:fldChar w:fldCharType="separate"/>
    </w:r>
    <w:r w:rsidR="00294879">
      <w:rPr>
        <w:noProof/>
        <w:sz w:val="12"/>
      </w:rPr>
      <w:t>DDA2b 03-Hepatic presentation A_2021Mar08.docx</w:t>
    </w:r>
    <w:r>
      <w:rPr>
        <w:noProof/>
        <w:sz w:val="12"/>
      </w:rPr>
      <w:fldChar w:fldCharType="end"/>
    </w:r>
    <w:r w:rsidR="0085578E">
      <w:rPr>
        <w:sz w:val="12"/>
      </w:rPr>
      <w:tab/>
    </w:r>
    <w:r w:rsidR="0085578E">
      <w:rPr>
        <w:rStyle w:val="PageNumber"/>
      </w:rPr>
      <w:fldChar w:fldCharType="begin"/>
    </w:r>
    <w:r w:rsidR="0085578E">
      <w:rPr>
        <w:rStyle w:val="PageNumber"/>
      </w:rPr>
      <w:instrText xml:space="preserve"> PAGE </w:instrText>
    </w:r>
    <w:r w:rsidR="0085578E">
      <w:rPr>
        <w:rStyle w:val="PageNumber"/>
      </w:rPr>
      <w:fldChar w:fldCharType="separate"/>
    </w:r>
    <w:r w:rsidR="001A46FD">
      <w:rPr>
        <w:rStyle w:val="PageNumber"/>
        <w:noProof/>
      </w:rPr>
      <w:t>2</w:t>
    </w:r>
    <w:r w:rsidR="0085578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4818C" w14:textId="77777777" w:rsidR="008B0BE9" w:rsidRDefault="008B0BE9">
      <w:r>
        <w:separator/>
      </w:r>
    </w:p>
  </w:footnote>
  <w:footnote w:type="continuationSeparator" w:id="0">
    <w:p w14:paraId="2084818D" w14:textId="77777777" w:rsidR="008B0BE9" w:rsidRDefault="008B0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48190" w14:textId="77777777" w:rsidR="0085578E" w:rsidRDefault="008F38D0">
    <w:pPr>
      <w:pStyle w:val="Header"/>
      <w:rPr>
        <w:rFonts w:ascii="Arial" w:hAnsi="Arial"/>
        <w:b/>
        <w:sz w:val="22"/>
      </w:rPr>
    </w:pPr>
    <w:r>
      <w:rPr>
        <w:rFonts w:ascii="Arial" w:hAnsi="Arial"/>
        <w:b/>
        <w:sz w:val="22"/>
      </w:rPr>
      <w:t>EMWA workshop</w:t>
    </w:r>
    <w:r w:rsidR="0085578E">
      <w:rPr>
        <w:rFonts w:ascii="Arial" w:hAnsi="Arial"/>
        <w:b/>
        <w:sz w:val="22"/>
      </w:rPr>
      <w:br/>
      <w:t>Medical writing between dossier submission and drug approval</w:t>
    </w:r>
  </w:p>
  <w:p w14:paraId="20848191" w14:textId="77777777" w:rsidR="0085578E" w:rsidRDefault="0085578E">
    <w:pPr>
      <w:pStyle w:val="Header"/>
      <w:rPr>
        <w:rFonts w:ascii="Arial" w:hAnsi="Arial"/>
        <w:b/>
        <w:sz w:val="22"/>
      </w:rPr>
    </w:pPr>
    <w:r w:rsidRPr="0016182E">
      <w:rPr>
        <w:rFonts w:ascii="Arial" w:hAnsi="Arial"/>
        <w:b/>
        <w:sz w:val="22"/>
      </w:rPr>
      <w:t>Drug development, advanced (DDA2</w:t>
    </w:r>
    <w:r w:rsidR="001A46FD">
      <w:rPr>
        <w:rFonts w:ascii="Arial" w:hAnsi="Arial"/>
        <w:b/>
        <w:sz w:val="22"/>
      </w:rPr>
      <w:t>b</w:t>
    </w:r>
    <w:r w:rsidRPr="0016182E">
      <w:rPr>
        <w:rFonts w:ascii="Arial" w:hAnsi="Arial"/>
        <w:b/>
        <w:sz w:val="22"/>
      </w:rPr>
      <w:t>)</w:t>
    </w:r>
  </w:p>
  <w:p w14:paraId="20848192" w14:textId="77777777" w:rsidR="0085578E" w:rsidRDefault="0085578E">
    <w:pPr>
      <w:pStyle w:val="Head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8F0C3652"/>
    <w:lvl w:ilvl="0">
      <w:numFmt w:val="decimal"/>
      <w:lvlText w:val="*"/>
      <w:lvlJc w:val="left"/>
    </w:lvl>
  </w:abstractNum>
  <w:abstractNum w:abstractNumId="1" w15:restartNumberingAfterBreak="0">
    <w:nsid w:val="00FE4E33"/>
    <w:multiLevelType w:val="singleLevel"/>
    <w:tmpl w:val="0409000F"/>
    <w:lvl w:ilvl="0">
      <w:start w:val="1"/>
      <w:numFmt w:val="decimal"/>
      <w:lvlText w:val="%1."/>
      <w:legacy w:legacy="1" w:legacySpace="0" w:legacyIndent="360"/>
      <w:lvlJc w:val="left"/>
      <w:pPr>
        <w:ind w:left="360" w:hanging="360"/>
      </w:pPr>
    </w:lvl>
  </w:abstractNum>
  <w:abstractNum w:abstractNumId="2" w15:restartNumberingAfterBreak="0">
    <w:nsid w:val="076B534B"/>
    <w:multiLevelType w:val="singleLevel"/>
    <w:tmpl w:val="5BC88DF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4AE51E8"/>
    <w:multiLevelType w:val="singleLevel"/>
    <w:tmpl w:val="8CB6CC66"/>
    <w:lvl w:ilvl="0">
      <w:start w:val="1"/>
      <w:numFmt w:val="bullet"/>
      <w:pStyle w:val="BulletList2"/>
      <w:lvlText w:val=""/>
      <w:lvlJc w:val="left"/>
      <w:pPr>
        <w:tabs>
          <w:tab w:val="num" w:pos="720"/>
        </w:tabs>
        <w:ind w:left="720" w:hanging="360"/>
      </w:pPr>
      <w:rPr>
        <w:rFonts w:ascii="Symbol" w:hAnsi="Symbol" w:hint="default"/>
      </w:rPr>
    </w:lvl>
  </w:abstractNum>
  <w:abstractNum w:abstractNumId="4" w15:restartNumberingAfterBreak="0">
    <w:nsid w:val="26B94126"/>
    <w:multiLevelType w:val="singleLevel"/>
    <w:tmpl w:val="4E20ABA4"/>
    <w:lvl w:ilvl="0">
      <w:start w:val="1"/>
      <w:numFmt w:val="bullet"/>
      <w:lvlText w:val=""/>
      <w:lvlJc w:val="left"/>
      <w:pPr>
        <w:tabs>
          <w:tab w:val="num" w:pos="1080"/>
        </w:tabs>
        <w:ind w:left="1080" w:hanging="360"/>
      </w:pPr>
      <w:rPr>
        <w:rFonts w:ascii="Symbol" w:hAnsi="Symbol" w:hint="default"/>
        <w:sz w:val="18"/>
      </w:rPr>
    </w:lvl>
  </w:abstractNum>
  <w:abstractNum w:abstractNumId="5" w15:restartNumberingAfterBreak="0">
    <w:nsid w:val="381B30C9"/>
    <w:multiLevelType w:val="singleLevel"/>
    <w:tmpl w:val="93081514"/>
    <w:lvl w:ilvl="0">
      <w:start w:val="1"/>
      <w:numFmt w:val="bullet"/>
      <w:pStyle w:val="BulletList1"/>
      <w:lvlText w:val=""/>
      <w:lvlJc w:val="left"/>
      <w:pPr>
        <w:tabs>
          <w:tab w:val="num" w:pos="360"/>
        </w:tabs>
        <w:ind w:left="360" w:hanging="360"/>
      </w:pPr>
      <w:rPr>
        <w:rFonts w:ascii="Symbol" w:hAnsi="Symbol" w:hint="default"/>
        <w:sz w:val="22"/>
      </w:rPr>
    </w:lvl>
  </w:abstractNum>
  <w:abstractNum w:abstractNumId="6" w15:restartNumberingAfterBreak="0">
    <w:nsid w:val="3FEF7FE6"/>
    <w:multiLevelType w:val="singleLevel"/>
    <w:tmpl w:val="D414AEC0"/>
    <w:lvl w:ilvl="0">
      <w:start w:val="1"/>
      <w:numFmt w:val="bullet"/>
      <w:lvlText w:val=""/>
      <w:lvlJc w:val="left"/>
      <w:pPr>
        <w:tabs>
          <w:tab w:val="num" w:pos="0"/>
        </w:tabs>
        <w:ind w:left="360" w:hanging="360"/>
      </w:pPr>
      <w:rPr>
        <w:rFonts w:ascii="Symbol" w:hAnsi="Symbol" w:hint="default"/>
        <w:sz w:val="28"/>
      </w:rPr>
    </w:lvl>
  </w:abstractNum>
  <w:abstractNum w:abstractNumId="7" w15:restartNumberingAfterBreak="0">
    <w:nsid w:val="401400C3"/>
    <w:multiLevelType w:val="singleLevel"/>
    <w:tmpl w:val="2262606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44E24CB"/>
    <w:multiLevelType w:val="singleLevel"/>
    <w:tmpl w:val="4C748784"/>
    <w:lvl w:ilvl="0">
      <w:start w:val="1"/>
      <w:numFmt w:val="bullet"/>
      <w:lvlText w:val="–"/>
      <w:lvlJc w:val="left"/>
      <w:pPr>
        <w:tabs>
          <w:tab w:val="num" w:pos="720"/>
        </w:tabs>
        <w:ind w:left="720" w:hanging="360"/>
      </w:pPr>
      <w:rPr>
        <w:rFonts w:ascii="Arial" w:hAnsi="Arial" w:hint="default"/>
      </w:rPr>
    </w:lvl>
  </w:abstractNum>
  <w:abstractNum w:abstractNumId="9" w15:restartNumberingAfterBreak="0">
    <w:nsid w:val="445A045B"/>
    <w:multiLevelType w:val="singleLevel"/>
    <w:tmpl w:val="0409000F"/>
    <w:lvl w:ilvl="0">
      <w:start w:val="1"/>
      <w:numFmt w:val="decimal"/>
      <w:lvlText w:val="%1."/>
      <w:legacy w:legacy="1" w:legacySpace="0" w:legacyIndent="360"/>
      <w:lvlJc w:val="left"/>
      <w:pPr>
        <w:ind w:left="360" w:hanging="360"/>
      </w:pPr>
    </w:lvl>
  </w:abstractNum>
  <w:abstractNum w:abstractNumId="10" w15:restartNumberingAfterBreak="0">
    <w:nsid w:val="4A351FCD"/>
    <w:multiLevelType w:val="singleLevel"/>
    <w:tmpl w:val="04D22A48"/>
    <w:lvl w:ilvl="0">
      <w:start w:val="1"/>
      <w:numFmt w:val="bullet"/>
      <w:pStyle w:val="BulletList3"/>
      <w:lvlText w:val=""/>
      <w:lvlJc w:val="left"/>
      <w:pPr>
        <w:tabs>
          <w:tab w:val="num" w:pos="1080"/>
        </w:tabs>
        <w:ind w:left="1080" w:hanging="360"/>
      </w:pPr>
      <w:rPr>
        <w:rFonts w:ascii="Symbol" w:hAnsi="Symbol" w:hint="default"/>
        <w:sz w:val="18"/>
      </w:rPr>
    </w:lvl>
  </w:abstractNum>
  <w:abstractNum w:abstractNumId="11" w15:restartNumberingAfterBreak="0">
    <w:nsid w:val="573F4885"/>
    <w:multiLevelType w:val="singleLevel"/>
    <w:tmpl w:val="0409000F"/>
    <w:lvl w:ilvl="0">
      <w:start w:val="1"/>
      <w:numFmt w:val="decimal"/>
      <w:lvlText w:val="%1."/>
      <w:legacy w:legacy="1" w:legacySpace="0" w:legacyIndent="360"/>
      <w:lvlJc w:val="left"/>
      <w:pPr>
        <w:ind w:left="360" w:hanging="360"/>
      </w:pPr>
    </w:lvl>
  </w:abstractNum>
  <w:abstractNum w:abstractNumId="12" w15:restartNumberingAfterBreak="0">
    <w:nsid w:val="5E650559"/>
    <w:multiLevelType w:val="singleLevel"/>
    <w:tmpl w:val="B3D8F12C"/>
    <w:lvl w:ilvl="0">
      <w:start w:val="1"/>
      <w:numFmt w:val="bullet"/>
      <w:lvlText w:val=""/>
      <w:lvlJc w:val="left"/>
      <w:pPr>
        <w:tabs>
          <w:tab w:val="num" w:pos="1080"/>
        </w:tabs>
        <w:ind w:left="360" w:firstLine="360"/>
      </w:pPr>
      <w:rPr>
        <w:rFonts w:ascii="Symbol" w:hAnsi="Symbol" w:hint="default"/>
      </w:rPr>
    </w:lvl>
  </w:abstractNum>
  <w:abstractNum w:abstractNumId="13" w15:restartNumberingAfterBreak="0">
    <w:nsid w:val="6709061A"/>
    <w:multiLevelType w:val="singleLevel"/>
    <w:tmpl w:val="0409000F"/>
    <w:lvl w:ilvl="0">
      <w:start w:val="1"/>
      <w:numFmt w:val="decimal"/>
      <w:lvlText w:val="%1."/>
      <w:legacy w:legacy="1" w:legacySpace="0" w:legacyIndent="360"/>
      <w:lvlJc w:val="left"/>
      <w:pPr>
        <w:ind w:left="360" w:hanging="360"/>
      </w:pPr>
    </w:lvl>
  </w:abstractNum>
  <w:abstractNum w:abstractNumId="14" w15:restartNumberingAfterBreak="0">
    <w:nsid w:val="7F036681"/>
    <w:multiLevelType w:val="singleLevel"/>
    <w:tmpl w:val="4008FD86"/>
    <w:lvl w:ilvl="0">
      <w:start w:val="1"/>
      <w:numFmt w:val="decimal"/>
      <w:pStyle w:val="NumberList"/>
      <w:lvlText w:val="%1."/>
      <w:lvlJc w:val="left"/>
      <w:pPr>
        <w:tabs>
          <w:tab w:val="num" w:pos="360"/>
        </w:tabs>
        <w:ind w:left="360" w:hanging="360"/>
      </w:pPr>
    </w:lvl>
  </w:abstractNum>
  <w:abstractNum w:abstractNumId="15" w15:restartNumberingAfterBreak="0">
    <w:nsid w:val="7FBF0F1B"/>
    <w:multiLevelType w:val="singleLevel"/>
    <w:tmpl w:val="8954F568"/>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4">
    <w:abstractNumId w:val="13"/>
  </w:num>
  <w:num w:numId="5">
    <w:abstractNumId w:val="0"/>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0">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8">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9">
    <w:abstractNumId w:val="2"/>
  </w:num>
  <w:num w:numId="20">
    <w:abstractNumId w:val="15"/>
  </w:num>
  <w:num w:numId="21">
    <w:abstractNumId w:val="7"/>
  </w:num>
  <w:num w:numId="22">
    <w:abstractNumId w:val="2"/>
  </w:num>
  <w:num w:numId="23">
    <w:abstractNumId w:val="15"/>
  </w:num>
  <w:num w:numId="24">
    <w:abstractNumId w:val="7"/>
  </w:num>
  <w:num w:numId="25">
    <w:abstractNumId w:val="0"/>
    <w:lvlOverride w:ilvl="0">
      <w:lvl w:ilvl="0">
        <w:start w:val="1"/>
        <w:numFmt w:val="bullet"/>
        <w:lvlText w:val=""/>
        <w:legacy w:legacy="1" w:legacySpace="0" w:legacyIndent="360"/>
        <w:lvlJc w:val="left"/>
        <w:pPr>
          <w:ind w:left="1080" w:hanging="360"/>
        </w:pPr>
        <w:rPr>
          <w:rFonts w:ascii="Times" w:hAnsi="Times" w:hint="default"/>
        </w:rPr>
      </w:lvl>
    </w:lvlOverride>
  </w:num>
  <w:num w:numId="26">
    <w:abstractNumId w:val="4"/>
  </w:num>
  <w:num w:numId="27">
    <w:abstractNumId w:val="8"/>
  </w:num>
  <w:num w:numId="28">
    <w:abstractNumId w:val="0"/>
    <w:lvlOverride w:ilvl="0">
      <w:lvl w:ilvl="0">
        <w:start w:val="1"/>
        <w:numFmt w:val="bullet"/>
        <w:lvlText w:val=""/>
        <w:legacy w:legacy="1" w:legacySpace="0" w:legacyIndent="360"/>
        <w:lvlJc w:val="left"/>
        <w:pPr>
          <w:ind w:left="360" w:hanging="360"/>
        </w:pPr>
        <w:rPr>
          <w:rFonts w:ascii="Times" w:hAnsi="Times" w:hint="default"/>
        </w:rPr>
      </w:lvl>
    </w:lvlOverride>
  </w:num>
  <w:num w:numId="29">
    <w:abstractNumId w:val="6"/>
  </w:num>
  <w:num w:numId="3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31">
    <w:abstractNumId w:val="5"/>
  </w:num>
  <w:num w:numId="32">
    <w:abstractNumId w:val="0"/>
    <w:lvlOverride w:ilvl="0">
      <w:lvl w:ilvl="0">
        <w:start w:val="1"/>
        <w:numFmt w:val="bullet"/>
        <w:lvlText w:val=""/>
        <w:legacy w:legacy="1" w:legacySpace="0" w:legacyIndent="360"/>
        <w:lvlJc w:val="left"/>
        <w:pPr>
          <w:ind w:left="720" w:hanging="360"/>
        </w:pPr>
        <w:rPr>
          <w:rFonts w:ascii="Courier New" w:hAnsi="Courier New" w:hint="default"/>
        </w:rPr>
      </w:lvl>
    </w:lvlOverride>
  </w:num>
  <w:num w:numId="33">
    <w:abstractNumId w:val="3"/>
  </w:num>
  <w:num w:numId="34">
    <w:abstractNumId w:val="0"/>
    <w:lvlOverride w:ilvl="0">
      <w:lvl w:ilvl="0">
        <w:start w:val="1"/>
        <w:numFmt w:val="bullet"/>
        <w:lvlText w:val=""/>
        <w:legacy w:legacy="1" w:legacySpace="0" w:legacyIndent="283"/>
        <w:lvlJc w:val="left"/>
        <w:pPr>
          <w:ind w:left="1003" w:hanging="283"/>
        </w:pPr>
        <w:rPr>
          <w:rFonts w:ascii="Courier New" w:hAnsi="Courier New" w:hint="default"/>
          <w:sz w:val="18"/>
        </w:rPr>
      </w:lvl>
    </w:lvlOverride>
  </w:num>
  <w:num w:numId="35">
    <w:abstractNumId w:val="10"/>
  </w:num>
  <w:num w:numId="36">
    <w:abstractNumId w:val="1"/>
  </w:num>
  <w:num w:numId="37">
    <w:abstractNumId w:val="9"/>
  </w:num>
  <w:num w:numId="38">
    <w:abstractNumId w:val="14"/>
  </w:num>
  <w:num w:numId="39">
    <w:abstractNumId w:val="5"/>
  </w:num>
  <w:num w:numId="40">
    <w:abstractNumId w:val="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paper2" w:val="N"/>
  </w:docVars>
  <w:rsids>
    <w:rsidRoot w:val="00573023"/>
    <w:rsid w:val="00017A01"/>
    <w:rsid w:val="000A440D"/>
    <w:rsid w:val="000F09EA"/>
    <w:rsid w:val="000F320E"/>
    <w:rsid w:val="00170FF4"/>
    <w:rsid w:val="001A46FD"/>
    <w:rsid w:val="00236846"/>
    <w:rsid w:val="00294879"/>
    <w:rsid w:val="002D2AD0"/>
    <w:rsid w:val="00372900"/>
    <w:rsid w:val="003C2FA1"/>
    <w:rsid w:val="004247AA"/>
    <w:rsid w:val="00507B62"/>
    <w:rsid w:val="0054031F"/>
    <w:rsid w:val="00573023"/>
    <w:rsid w:val="00585757"/>
    <w:rsid w:val="005F733E"/>
    <w:rsid w:val="0068795F"/>
    <w:rsid w:val="007B6F08"/>
    <w:rsid w:val="0083411E"/>
    <w:rsid w:val="0085578E"/>
    <w:rsid w:val="008B0BE9"/>
    <w:rsid w:val="008F38D0"/>
    <w:rsid w:val="00907589"/>
    <w:rsid w:val="009A4F2B"/>
    <w:rsid w:val="009F3B16"/>
    <w:rsid w:val="00A5297A"/>
    <w:rsid w:val="00B53959"/>
    <w:rsid w:val="00BB0238"/>
    <w:rsid w:val="00C705BE"/>
    <w:rsid w:val="00E36261"/>
    <w:rsid w:val="00E73F13"/>
    <w:rsid w:val="00FF0F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0848180"/>
  <w15:docId w15:val="{99D70A4E-BAA0-41B4-80C5-9598A89C1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de-DE"/>
    </w:rPr>
  </w:style>
  <w:style w:type="paragraph" w:styleId="Heading1">
    <w:name w:val="heading 1"/>
    <w:basedOn w:val="Normal"/>
    <w:next w:val="Para"/>
    <w:qFormat/>
    <w:pPr>
      <w:keepNext/>
      <w:keepLines/>
      <w:pageBreakBefore/>
      <w:spacing w:before="360"/>
      <w:ind w:left="1152" w:hanging="1152"/>
      <w:outlineLvl w:val="0"/>
    </w:pPr>
    <w:rPr>
      <w:rFonts w:ascii="Arial" w:hAnsi="Arial"/>
      <w:b/>
      <w:caps/>
      <w:sz w:val="32"/>
    </w:rPr>
  </w:style>
  <w:style w:type="paragraph" w:styleId="Heading2">
    <w:name w:val="heading 2"/>
    <w:basedOn w:val="Normal"/>
    <w:next w:val="Para"/>
    <w:qFormat/>
    <w:pPr>
      <w:keepNext/>
      <w:keepLines/>
      <w:spacing w:before="480"/>
      <w:ind w:left="1022" w:hanging="1022"/>
      <w:outlineLvl w:val="1"/>
    </w:pPr>
    <w:rPr>
      <w:rFonts w:ascii="Arial" w:hAnsi="Arial"/>
      <w:b/>
      <w:sz w:val="28"/>
    </w:rPr>
  </w:style>
  <w:style w:type="paragraph" w:styleId="Heading3">
    <w:name w:val="heading 3"/>
    <w:basedOn w:val="Normal"/>
    <w:next w:val="Para"/>
    <w:qFormat/>
    <w:pPr>
      <w:keepNext/>
      <w:keepLines/>
      <w:spacing w:before="480"/>
      <w:ind w:left="850" w:hanging="850"/>
      <w:outlineLvl w:val="2"/>
    </w:pPr>
    <w:rPr>
      <w:rFonts w:ascii="Arial" w:hAnsi="Arial"/>
      <w:b/>
      <w:sz w:val="24"/>
    </w:rPr>
  </w:style>
  <w:style w:type="paragraph" w:styleId="Heading4">
    <w:name w:val="heading 4"/>
    <w:basedOn w:val="Normal"/>
    <w:next w:val="Para"/>
    <w:qFormat/>
    <w:pPr>
      <w:keepNext/>
      <w:keepLines/>
      <w:spacing w:before="360"/>
      <w:ind w:left="677" w:hanging="677"/>
      <w:outlineLvl w:val="3"/>
    </w:pPr>
    <w:rPr>
      <w:rFonts w:ascii="Arial" w:hAnsi="Arial"/>
      <w:b/>
    </w:rPr>
  </w:style>
  <w:style w:type="paragraph" w:styleId="Heading5">
    <w:name w:val="heading 5"/>
    <w:basedOn w:val="Normal"/>
    <w:next w:val="Para"/>
    <w:qFormat/>
    <w:pPr>
      <w:keepNext/>
      <w:keepLines/>
      <w:spacing w:before="216"/>
      <w:ind w:left="504" w:hanging="504"/>
      <w:outlineLvl w:val="4"/>
    </w:pPr>
    <w:rPr>
      <w:rFonts w:ascii="Arial" w:hAnsi="Arial"/>
      <w:b/>
      <w:i/>
    </w:rPr>
  </w:style>
  <w:style w:type="paragraph" w:styleId="Heading6">
    <w:name w:val="heading 6"/>
    <w:basedOn w:val="Normal"/>
    <w:next w:val="Para"/>
    <w:qFormat/>
    <w:pPr>
      <w:keepNext/>
      <w:keepLines/>
      <w:spacing w:before="216"/>
      <w:ind w:left="504" w:hanging="504"/>
      <w:outlineLvl w:val="5"/>
    </w:pPr>
    <w:rPr>
      <w:rFonts w:ascii="Arial" w:hAnsi="Arial"/>
      <w:b/>
    </w:rPr>
  </w:style>
  <w:style w:type="paragraph" w:styleId="Heading7">
    <w:name w:val="heading 7"/>
    <w:basedOn w:val="Normal"/>
    <w:next w:val="Para"/>
    <w:qFormat/>
    <w:pPr>
      <w:keepNext/>
      <w:keepLines/>
      <w:spacing w:before="216"/>
      <w:ind w:left="504" w:hanging="504"/>
      <w:outlineLvl w:val="6"/>
    </w:pPr>
    <w:rPr>
      <w:rFonts w:ascii="Arial" w:hAnsi="Arial"/>
      <w:b/>
    </w:rPr>
  </w:style>
  <w:style w:type="paragraph" w:styleId="Heading8">
    <w:name w:val="heading 8"/>
    <w:basedOn w:val="Normal"/>
    <w:next w:val="Para"/>
    <w:qFormat/>
    <w:pPr>
      <w:keepNext/>
      <w:keepLines/>
      <w:spacing w:before="216"/>
      <w:ind w:left="504" w:hanging="504"/>
      <w:outlineLvl w:val="7"/>
    </w:pPr>
    <w:rPr>
      <w:rFonts w:ascii="Arial" w:hAnsi="Arial"/>
      <w:b/>
    </w:rPr>
  </w:style>
  <w:style w:type="paragraph" w:styleId="Heading9">
    <w:name w:val="heading 9"/>
    <w:basedOn w:val="Normal"/>
    <w:next w:val="Para"/>
    <w:qFormat/>
    <w:pPr>
      <w:keepNext/>
      <w:keepLines/>
      <w:spacing w:before="216"/>
      <w:ind w:left="504" w:hanging="504"/>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pPr>
      <w:suppressAutoHyphens/>
      <w:spacing w:before="240"/>
    </w:pPr>
    <w:rPr>
      <w:sz w:val="22"/>
      <w:lang w:val="en-US" w:eastAsia="de-DE"/>
    </w:rPr>
  </w:style>
  <w:style w:type="paragraph" w:customStyle="1" w:styleId="BulletList1">
    <w:name w:val="Bullet List 1"/>
    <w:basedOn w:val="Normal"/>
    <w:pPr>
      <w:numPr>
        <w:numId w:val="39"/>
      </w:numPr>
      <w:spacing w:before="120"/>
    </w:pPr>
    <w:rPr>
      <w:sz w:val="22"/>
    </w:rPr>
  </w:style>
  <w:style w:type="paragraph" w:customStyle="1" w:styleId="BulletList2">
    <w:name w:val="Bullet List 2"/>
    <w:basedOn w:val="Normal"/>
    <w:pPr>
      <w:numPr>
        <w:numId w:val="40"/>
      </w:numPr>
      <w:spacing w:before="120"/>
    </w:pPr>
    <w:rPr>
      <w:sz w:val="22"/>
    </w:rPr>
  </w:style>
  <w:style w:type="paragraph" w:customStyle="1" w:styleId="BulletList3">
    <w:name w:val="Bullet List 3"/>
    <w:basedOn w:val="Normal"/>
    <w:pPr>
      <w:numPr>
        <w:numId w:val="41"/>
      </w:numPr>
      <w:spacing w:before="120"/>
    </w:pPr>
    <w:rPr>
      <w:sz w:val="22"/>
    </w:rPr>
  </w:style>
  <w:style w:type="paragraph" w:styleId="Caption">
    <w:name w:val="caption"/>
    <w:basedOn w:val="Normal"/>
    <w:next w:val="Normal"/>
    <w:qFormat/>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120" w:after="72"/>
    </w:pPr>
    <w:rPr>
      <w:rFonts w:ascii="Arial" w:hAnsi="Arial"/>
      <w:b/>
    </w:rPr>
  </w:style>
  <w:style w:type="paragraph" w:customStyle="1" w:styleId="figtitle">
    <w:name w:val="fig:title"/>
    <w:basedOn w:val="Normal"/>
    <w:next w:val="Para"/>
    <w:pPr>
      <w:jc w:val="center"/>
    </w:pPr>
    <w:rPr>
      <w:rFonts w:ascii="Arial" w:hAnsi="Arial"/>
      <w:b/>
    </w:rPr>
  </w:style>
  <w:style w:type="paragraph" w:customStyle="1" w:styleId="tbltitle">
    <w:name w:val="tbl:title"/>
    <w:basedOn w:val="Para"/>
    <w:next w:val="Para"/>
    <w:pPr>
      <w:jc w:val="center"/>
    </w:pPr>
    <w:rPr>
      <w:rFonts w:ascii="Arial" w:hAnsi="Arial"/>
      <w:b/>
      <w:sz w:val="20"/>
    </w:rPr>
  </w:style>
  <w:style w:type="paragraph" w:customStyle="1" w:styleId="Figcap">
    <w:name w:val="Figcap"/>
    <w:basedOn w:val="Caption"/>
    <w:next w:val="Para"/>
    <w:pPr>
      <w:spacing w:before="202"/>
    </w:pPr>
  </w:style>
  <w:style w:type="paragraph" w:styleId="Footer">
    <w:name w:val="footer"/>
    <w:basedOn w:val="Normal"/>
    <w:pPr>
      <w:tabs>
        <w:tab w:val="right" w:pos="9072"/>
      </w:tabs>
    </w:pPr>
    <w:rPr>
      <w:sz w:val="22"/>
    </w:rPr>
  </w:style>
  <w:style w:type="character" w:styleId="FootnoteReference">
    <w:name w:val="footnote reference"/>
    <w:basedOn w:val="DefaultParagraphFont"/>
    <w:semiHidden/>
    <w:rPr>
      <w:rFonts w:ascii="Times New Roman" w:hAnsi="Times New Roman"/>
      <w:position w:val="6"/>
      <w:sz w:val="18"/>
      <w:vertAlign w:val="baseline"/>
    </w:rPr>
  </w:style>
  <w:style w:type="paragraph" w:styleId="FootnoteText">
    <w:name w:val="footnote text"/>
    <w:basedOn w:val="Normal"/>
    <w:semiHidden/>
    <w:pPr>
      <w:ind w:left="504" w:hanging="504"/>
    </w:pPr>
  </w:style>
  <w:style w:type="paragraph" w:styleId="Header">
    <w:name w:val="header"/>
    <w:basedOn w:val="Normal"/>
    <w:pPr>
      <w:tabs>
        <w:tab w:val="center" w:pos="4536"/>
      </w:tabs>
    </w:pPr>
    <w:rPr>
      <w:sz w:val="18"/>
    </w:rPr>
  </w:style>
  <w:style w:type="paragraph" w:customStyle="1" w:styleId="Heading1notoc">
    <w:name w:val="Heading 1notoc"/>
    <w:basedOn w:val="Heading1"/>
    <w:next w:val="Para"/>
    <w:pPr>
      <w:outlineLvl w:val="9"/>
    </w:pPr>
  </w:style>
  <w:style w:type="paragraph" w:customStyle="1" w:styleId="Heading2notoc">
    <w:name w:val="Heading 2notoc"/>
    <w:basedOn w:val="Heading2"/>
    <w:next w:val="Para"/>
    <w:pPr>
      <w:outlineLvl w:val="9"/>
    </w:pPr>
  </w:style>
  <w:style w:type="paragraph" w:customStyle="1" w:styleId="Heading3notoc">
    <w:name w:val="Heading 3notoc"/>
    <w:basedOn w:val="Heading3"/>
    <w:next w:val="Para"/>
    <w:pPr>
      <w:outlineLvl w:val="9"/>
    </w:pPr>
  </w:style>
  <w:style w:type="paragraph" w:customStyle="1" w:styleId="Heading4notoc">
    <w:name w:val="Heading 4notoc"/>
    <w:basedOn w:val="Heading4"/>
    <w:next w:val="Para"/>
    <w:pPr>
      <w:outlineLvl w:val="9"/>
    </w:pPr>
  </w:style>
  <w:style w:type="paragraph" w:customStyle="1" w:styleId="Heading5notoc">
    <w:name w:val="Heading 5notoc"/>
    <w:basedOn w:val="Heading5"/>
    <w:next w:val="Para"/>
    <w:pPr>
      <w:outlineLvl w:val="9"/>
    </w:pPr>
  </w:style>
  <w:style w:type="paragraph" w:customStyle="1" w:styleId="Heading6notoc">
    <w:name w:val="Heading 6notoc"/>
    <w:basedOn w:val="Heading6"/>
    <w:next w:val="Para"/>
    <w:pPr>
      <w:outlineLvl w:val="9"/>
    </w:pPr>
  </w:style>
  <w:style w:type="paragraph" w:customStyle="1" w:styleId="Heading7notoc">
    <w:name w:val="Heading 7notoc"/>
    <w:basedOn w:val="Heading7"/>
    <w:next w:val="Para"/>
    <w:pPr>
      <w:outlineLvl w:val="9"/>
    </w:pPr>
  </w:style>
  <w:style w:type="paragraph" w:customStyle="1" w:styleId="Hmr">
    <w:name w:val="Hmr"/>
    <w:next w:val="Para"/>
    <w:pPr>
      <w:framePr w:w="2557" w:h="885" w:hSpace="181" w:wrap="around" w:hAnchor="margin" w:xAlign="right" w:yAlign="bottom"/>
      <w:spacing w:before="120"/>
    </w:pPr>
    <w:rPr>
      <w:rFonts w:ascii="Garamond" w:hAnsi="Garamond"/>
      <w:noProof/>
      <w:lang w:val="de-DE" w:eastAsia="de-D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uppressAutoHyphens/>
      <w:spacing w:before="202" w:after="72"/>
    </w:pPr>
    <w:rPr>
      <w:rFonts w:ascii="Courier New" w:hAnsi="Courier New"/>
      <w:lang w:val="en-US" w:eastAsia="de-DE"/>
    </w:rPr>
  </w:style>
  <w:style w:type="paragraph" w:customStyle="1" w:styleId="NumberList">
    <w:name w:val="Number List"/>
    <w:basedOn w:val="Normal"/>
    <w:pPr>
      <w:numPr>
        <w:numId w:val="38"/>
      </w:numPr>
      <w:spacing w:before="120"/>
    </w:pPr>
    <w:rPr>
      <w:sz w:val="22"/>
    </w:rPr>
  </w:style>
  <w:style w:type="character" w:styleId="PageNumber">
    <w:name w:val="page number"/>
    <w:basedOn w:val="DefaultParagraphFont"/>
  </w:style>
  <w:style w:type="paragraph" w:customStyle="1" w:styleId="Parahead">
    <w:name w:val="Parahead"/>
    <w:basedOn w:val="Para"/>
    <w:rPr>
      <w:b/>
    </w:rPr>
  </w:style>
  <w:style w:type="paragraph" w:customStyle="1" w:styleId="Paraindent">
    <w:name w:val="Paraindent"/>
    <w:basedOn w:val="Para"/>
    <w:pPr>
      <w:ind w:left="360"/>
    </w:pPr>
  </w:style>
  <w:style w:type="paragraph" w:customStyle="1" w:styleId="Paranospace">
    <w:name w:val="Paranospace"/>
    <w:basedOn w:val="Para"/>
    <w:pPr>
      <w:spacing w:before="0" w:after="60"/>
    </w:pPr>
  </w:style>
  <w:style w:type="paragraph" w:customStyle="1" w:styleId="Pohead">
    <w:name w:val="Pohead"/>
    <w:basedOn w:val="Parahead"/>
    <w:next w:val="Parahead"/>
    <w:rPr>
      <w:rFonts w:ascii="Arial" w:hAnsi="Arial"/>
    </w:rPr>
  </w:style>
  <w:style w:type="paragraph" w:customStyle="1" w:styleId="row10">
    <w:name w:val="row10"/>
    <w:basedOn w:val="Normal"/>
    <w:pPr>
      <w:spacing w:before="38" w:after="38"/>
    </w:pPr>
    <w:rPr>
      <w:rFonts w:ascii="Arial" w:hAnsi="Arial"/>
    </w:rPr>
  </w:style>
  <w:style w:type="paragraph" w:customStyle="1" w:styleId="row8">
    <w:name w:val="row8"/>
    <w:basedOn w:val="Para"/>
    <w:pPr>
      <w:spacing w:before="38" w:after="38"/>
    </w:pPr>
    <w:rPr>
      <w:rFonts w:ascii="Courier New" w:hAnsi="Courier New"/>
      <w:sz w:val="16"/>
    </w:rPr>
  </w:style>
  <w:style w:type="paragraph" w:customStyle="1" w:styleId="allstrow">
    <w:name w:val="allstrow"/>
    <w:pPr>
      <w:tabs>
        <w:tab w:val="left" w:pos="360"/>
      </w:tabs>
    </w:pPr>
    <w:rPr>
      <w:rFonts w:ascii="Arial" w:hAnsi="Arial"/>
      <w:noProof/>
      <w:color w:val="000000"/>
      <w:sz w:val="14"/>
      <w:lang w:val="de-DE" w:eastAsia="de-DE"/>
    </w:rPr>
  </w:style>
  <w:style w:type="paragraph" w:customStyle="1" w:styleId="tblfooter10">
    <w:name w:val="tbl:footer10"/>
    <w:basedOn w:val="Normal"/>
    <w:next w:val="Para"/>
    <w:pPr>
      <w:ind w:left="504" w:hanging="504"/>
    </w:pPr>
    <w:rPr>
      <w:rFonts w:ascii="Arial" w:hAnsi="Arial"/>
    </w:rPr>
  </w:style>
  <w:style w:type="paragraph" w:customStyle="1" w:styleId="sstitle">
    <w:name w:val="ss:title"/>
    <w:basedOn w:val="Normal"/>
    <w:pPr>
      <w:pageBreakBefore/>
      <w:jc w:val="center"/>
    </w:pPr>
    <w:rPr>
      <w:rFonts w:ascii="Arial" w:hAnsi="Arial"/>
      <w:b/>
      <w:sz w:val="24"/>
    </w:rPr>
  </w:style>
  <w:style w:type="paragraph" w:customStyle="1" w:styleId="tabbreak">
    <w:name w:val="tabbreak"/>
    <w:basedOn w:val="Para"/>
    <w:pPr>
      <w:spacing w:before="20" w:line="20" w:lineRule="exact"/>
      <w:jc w:val="center"/>
    </w:pPr>
  </w:style>
  <w:style w:type="paragraph" w:customStyle="1" w:styleId="tblcaption10">
    <w:name w:val="tbl:caption10"/>
    <w:basedOn w:val="Normal"/>
    <w:next w:val="Para"/>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202" w:after="72"/>
      <w:ind w:left="1656" w:hanging="1656"/>
    </w:pPr>
    <w:rPr>
      <w:rFonts w:ascii="Arial" w:hAnsi="Arial"/>
      <w:b/>
    </w:rPr>
  </w:style>
  <w:style w:type="paragraph" w:customStyle="1" w:styleId="tblcaption8">
    <w:name w:val="tbl:caption8"/>
    <w:basedOn w:val="Caption"/>
    <w:next w:val="Para"/>
    <w:pPr>
      <w:spacing w:before="60" w:after="60"/>
      <w:ind w:left="1397" w:hanging="1397"/>
    </w:pPr>
    <w:rPr>
      <w:rFonts w:ascii="Courier New" w:hAnsi="Courier New"/>
      <w:b w:val="0"/>
      <w:sz w:val="16"/>
    </w:rPr>
  </w:style>
  <w:style w:type="paragraph" w:customStyle="1" w:styleId="tblcaption9">
    <w:name w:val="tbl:caption9"/>
    <w:basedOn w:val="tblcaption8"/>
    <w:next w:val="Para"/>
    <w:pPr>
      <w:ind w:left="1526" w:hanging="1526"/>
    </w:pPr>
    <w:rPr>
      <w:sz w:val="18"/>
    </w:rPr>
  </w:style>
  <w:style w:type="paragraph" w:customStyle="1" w:styleId="tblfooter8">
    <w:name w:val="tbl:footer8"/>
    <w:basedOn w:val="Para"/>
    <w:pPr>
      <w:tabs>
        <w:tab w:val="left" w:pos="504"/>
      </w:tabs>
      <w:spacing w:before="0"/>
      <w:ind w:left="504" w:hanging="504"/>
    </w:pPr>
    <w:rPr>
      <w:rFonts w:ascii="Courier New" w:hAnsi="Courier New"/>
      <w:sz w:val="16"/>
    </w:rPr>
  </w:style>
  <w:style w:type="paragraph" w:customStyle="1" w:styleId="eurow8">
    <w:name w:val="eurow8"/>
    <w:basedOn w:val="Para"/>
    <w:pPr>
      <w:spacing w:before="38" w:after="38"/>
    </w:pPr>
    <w:rPr>
      <w:rFonts w:ascii="Arial" w:hAnsi="Arial"/>
      <w:sz w:val="16"/>
    </w:rPr>
  </w:style>
  <w:style w:type="paragraph" w:customStyle="1" w:styleId="titlepghd">
    <w:name w:val="titlepghd"/>
    <w:basedOn w:val="Para"/>
    <w:pPr>
      <w:suppressAutoHyphens w:val="0"/>
      <w:jc w:val="center"/>
    </w:pPr>
    <w:rPr>
      <w:rFonts w:ascii="Arial" w:hAnsi="Arial"/>
      <w:b/>
      <w:sz w:val="28"/>
    </w:rPr>
  </w:style>
  <w:style w:type="paragraph" w:customStyle="1" w:styleId="titlepgtxt">
    <w:name w:val="titlepgtxt"/>
    <w:basedOn w:val="titlepghd"/>
    <w:pPr>
      <w:spacing w:before="0"/>
    </w:pPr>
    <w:rPr>
      <w:rFonts w:ascii="Times New Roman" w:hAnsi="Times New Roman"/>
      <w:b w:val="0"/>
      <w:sz w:val="22"/>
    </w:rPr>
  </w:style>
  <w:style w:type="paragraph" w:customStyle="1" w:styleId="TOC">
    <w:name w:val="TOC"/>
    <w:basedOn w:val="Heading1notoc"/>
    <w:next w:val="Para"/>
    <w:pPr>
      <w:spacing w:after="280"/>
      <w:jc w:val="center"/>
    </w:pPr>
  </w:style>
  <w:style w:type="paragraph" w:styleId="TOC1">
    <w:name w:val="toc 1"/>
    <w:basedOn w:val="Para"/>
    <w:next w:val="Para"/>
    <w:semiHidden/>
    <w:pPr>
      <w:keepNext/>
      <w:tabs>
        <w:tab w:val="right" w:leader="dot" w:pos="9000"/>
      </w:tabs>
      <w:spacing w:before="360"/>
      <w:ind w:left="1134" w:right="1134" w:hanging="1134"/>
    </w:pPr>
    <w:rPr>
      <w:b/>
      <w:caps/>
    </w:rPr>
  </w:style>
  <w:style w:type="paragraph" w:styleId="TOC2">
    <w:name w:val="toc 2"/>
    <w:basedOn w:val="Para"/>
    <w:next w:val="Para"/>
    <w:semiHidden/>
    <w:pPr>
      <w:tabs>
        <w:tab w:val="right" w:leader="dot" w:pos="9000"/>
      </w:tabs>
      <w:spacing w:before="0"/>
      <w:ind w:left="1023" w:right="1138" w:hanging="562"/>
    </w:pPr>
    <w:rPr>
      <w:b/>
    </w:rPr>
  </w:style>
  <w:style w:type="paragraph" w:styleId="TOC3">
    <w:name w:val="toc 3"/>
    <w:basedOn w:val="Para"/>
    <w:next w:val="Para"/>
    <w:semiHidden/>
    <w:pPr>
      <w:tabs>
        <w:tab w:val="right" w:leader="dot" w:pos="9000"/>
      </w:tabs>
      <w:spacing w:before="0"/>
      <w:ind w:left="1872" w:right="1134" w:hanging="851"/>
    </w:pPr>
  </w:style>
  <w:style w:type="paragraph" w:styleId="TOC4">
    <w:name w:val="toc 4"/>
    <w:basedOn w:val="Para"/>
    <w:next w:val="Para"/>
    <w:semiHidden/>
    <w:pPr>
      <w:tabs>
        <w:tab w:val="right" w:leader="dot" w:pos="9000"/>
      </w:tabs>
      <w:spacing w:before="0"/>
      <w:ind w:left="2155" w:right="1134" w:hanging="284"/>
    </w:pPr>
  </w:style>
  <w:style w:type="paragraph" w:styleId="TOC5">
    <w:name w:val="toc 5"/>
    <w:basedOn w:val="Para"/>
    <w:next w:val="Para"/>
    <w:semiHidden/>
    <w:pPr>
      <w:tabs>
        <w:tab w:val="right" w:leader="dot" w:pos="9000"/>
      </w:tabs>
      <w:spacing w:before="0"/>
      <w:ind w:left="2448" w:right="1138" w:hanging="288"/>
    </w:pPr>
  </w:style>
  <w:style w:type="paragraph" w:styleId="TOC6">
    <w:name w:val="toc 6"/>
    <w:basedOn w:val="Para"/>
    <w:next w:val="Para"/>
    <w:semiHidden/>
    <w:pPr>
      <w:tabs>
        <w:tab w:val="right" w:leader="dot" w:pos="9000"/>
      </w:tabs>
      <w:spacing w:before="0"/>
      <w:ind w:left="2736" w:right="1138" w:hanging="288"/>
      <w:outlineLvl w:val="5"/>
    </w:pPr>
  </w:style>
  <w:style w:type="paragraph" w:styleId="TOC7">
    <w:name w:val="toc 7"/>
    <w:basedOn w:val="Para"/>
    <w:next w:val="Para"/>
    <w:semiHidden/>
    <w:pPr>
      <w:tabs>
        <w:tab w:val="right" w:leader="dot" w:pos="9000"/>
      </w:tabs>
      <w:spacing w:before="0"/>
      <w:ind w:left="3024" w:right="1138" w:hanging="288"/>
      <w:outlineLvl w:val="6"/>
    </w:pPr>
  </w:style>
  <w:style w:type="paragraph" w:styleId="TOC8">
    <w:name w:val="toc 8"/>
    <w:basedOn w:val="Para"/>
    <w:next w:val="Para"/>
    <w:semiHidden/>
    <w:pPr>
      <w:tabs>
        <w:tab w:val="right" w:leader="dot" w:pos="9000"/>
      </w:tabs>
      <w:spacing w:before="0"/>
      <w:ind w:left="3312" w:right="1138" w:hanging="288"/>
      <w:outlineLvl w:val="7"/>
    </w:pPr>
  </w:style>
  <w:style w:type="paragraph" w:styleId="TOC9">
    <w:name w:val="toc 9"/>
    <w:basedOn w:val="Para"/>
    <w:next w:val="Para"/>
    <w:semiHidden/>
    <w:pPr>
      <w:spacing w:before="0"/>
      <w:ind w:left="3600" w:right="1138" w:hanging="288"/>
      <w:outlineLvl w:val="8"/>
    </w:pPr>
  </w:style>
  <w:style w:type="paragraph" w:customStyle="1" w:styleId="sigblock">
    <w:name w:val="sigblock"/>
    <w:basedOn w:val="Para"/>
    <w:next w:val="Para"/>
    <w:pPr>
      <w:tabs>
        <w:tab w:val="right" w:leader="underscore" w:pos="8280"/>
      </w:tabs>
      <w:spacing w:before="1500"/>
    </w:pPr>
  </w:style>
  <w:style w:type="paragraph" w:customStyle="1" w:styleId="signame">
    <w:name w:val="signame"/>
    <w:basedOn w:val="sigblock"/>
    <w:next w:val="Para"/>
    <w:pPr>
      <w:tabs>
        <w:tab w:val="clear" w:pos="8280"/>
        <w:tab w:val="center" w:pos="4320"/>
      </w:tabs>
      <w:spacing w:before="0"/>
    </w:pPr>
  </w:style>
  <w:style w:type="paragraph" w:customStyle="1" w:styleId="Synhead">
    <w:name w:val="Synhead"/>
    <w:basedOn w:val="Para"/>
    <w:next w:val="Synpara"/>
    <w:pPr>
      <w:keepNext/>
      <w:keepLines/>
    </w:pPr>
    <w:rPr>
      <w:rFonts w:ascii="Arial" w:hAnsi="Arial"/>
      <w:b/>
    </w:rPr>
  </w:style>
  <w:style w:type="paragraph" w:customStyle="1" w:styleId="Synpara">
    <w:name w:val="Synpara"/>
    <w:basedOn w:val="Para"/>
    <w:pPr>
      <w:spacing w:before="0" w:after="60"/>
    </w:pPr>
  </w:style>
  <w:style w:type="paragraph" w:customStyle="1" w:styleId="Subxref">
    <w:name w:val="Subxref"/>
    <w:basedOn w:val="Para"/>
    <w:pPr>
      <w:tabs>
        <w:tab w:val="right" w:leader="dot" w:pos="8640"/>
      </w:tabs>
      <w:spacing w:before="0"/>
    </w:pPr>
    <w:rPr>
      <w:i/>
      <w:sz w:val="18"/>
    </w:rPr>
  </w:style>
  <w:style w:type="paragraph" w:styleId="TableofFigures">
    <w:name w:val="table of figures"/>
    <w:basedOn w:val="Normal"/>
    <w:next w:val="Para"/>
    <w:semiHidden/>
    <w:pPr>
      <w:tabs>
        <w:tab w:val="right" w:leader="dot" w:pos="9000"/>
      </w:tabs>
      <w:ind w:left="1138" w:hanging="1138"/>
    </w:pPr>
  </w:style>
  <w:style w:type="paragraph" w:customStyle="1" w:styleId="Tbltoken">
    <w:name w:val="Tbl token"/>
    <w:basedOn w:val="row8"/>
    <w:pPr>
      <w:spacing w:before="60" w:after="60"/>
    </w:pPr>
  </w:style>
  <w:style w:type="paragraph" w:customStyle="1" w:styleId="tblnote8">
    <w:name w:val="tbl:note8"/>
    <w:basedOn w:val="Normal"/>
    <w:pPr>
      <w:tabs>
        <w:tab w:val="left" w:pos="518"/>
      </w:tabs>
      <w:ind w:left="518" w:hanging="518"/>
    </w:pPr>
    <w:rPr>
      <w:rFonts w:ascii="Courier New" w:hAnsi="Courier New"/>
      <w:sz w:val="16"/>
    </w:rPr>
  </w:style>
  <w:style w:type="paragraph" w:customStyle="1" w:styleId="tblsource8">
    <w:name w:val="tbl:source8"/>
    <w:basedOn w:val="Normal"/>
    <w:pPr>
      <w:tabs>
        <w:tab w:val="right" w:pos="12600"/>
      </w:tabs>
    </w:pPr>
    <w:rPr>
      <w:rFonts w:ascii="Courier New" w:hAnsi="Courier New"/>
      <w:i/>
      <w:sz w:val="16"/>
    </w:rPr>
  </w:style>
  <w:style w:type="paragraph" w:customStyle="1" w:styleId="Tbleottitle">
    <w:name w:val="Tbl eottitle"/>
    <w:basedOn w:val="row8"/>
    <w:pPr>
      <w:spacing w:before="60" w:after="60"/>
    </w:pPr>
  </w:style>
  <w:style w:type="paragraph" w:customStyle="1" w:styleId="Figtoken">
    <w:name w:val="Fig token"/>
    <w:basedOn w:val="row8"/>
    <w:pPr>
      <w:spacing w:before="60" w:after="60"/>
    </w:pPr>
  </w:style>
  <w:style w:type="paragraph" w:customStyle="1" w:styleId="Figeottitle">
    <w:name w:val="Fig eottitle"/>
    <w:basedOn w:val="row8"/>
    <w:pPr>
      <w:spacing w:before="60" w:after="60"/>
    </w:pPr>
  </w:style>
  <w:style w:type="character" w:styleId="LineNumber">
    <w:name w:val="line number"/>
    <w:basedOn w:val="DefaultParagraphFont"/>
  </w:style>
  <w:style w:type="paragraph" w:customStyle="1" w:styleId="figcaption8">
    <w:name w:val="fig:caption8"/>
    <w:basedOn w:val="tblcaption8"/>
  </w:style>
  <w:style w:type="paragraph" w:customStyle="1" w:styleId="Reftoken">
    <w:name w:val="Ref token"/>
    <w:basedOn w:val="Para"/>
    <w:next w:val="Refauthor"/>
    <w:pPr>
      <w:spacing w:before="0"/>
    </w:pPr>
    <w:rPr>
      <w:i/>
    </w:rPr>
  </w:style>
  <w:style w:type="paragraph" w:customStyle="1" w:styleId="Refauthor">
    <w:name w:val="Ref author"/>
    <w:basedOn w:val="Reftoken"/>
    <w:next w:val="Reftitle"/>
    <w:pPr>
      <w:ind w:left="202" w:hanging="202"/>
    </w:pPr>
    <w:rPr>
      <w:i w:val="0"/>
    </w:rPr>
  </w:style>
  <w:style w:type="paragraph" w:customStyle="1" w:styleId="Reftitle">
    <w:name w:val="Ref title"/>
    <w:basedOn w:val="Refauthor"/>
    <w:next w:val="Refreport"/>
  </w:style>
  <w:style w:type="paragraph" w:customStyle="1" w:styleId="Refreport">
    <w:name w:val="Ref report"/>
    <w:basedOn w:val="Refauthor"/>
    <w:next w:val="Para"/>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BLANK02.DOT</Template>
  <TotalTime>1</TotalTime>
  <Pages>2</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Hepatic presentation A</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Hepatic presentation A</dc:title>
  <dc:subject/>
  <dc:creator>Douglas Fiebig &amp; Neil Garrett</dc:creator>
  <cp:keywords/>
  <dc:description>EMWA</dc:description>
  <cp:lastModifiedBy>Fiebig, Douglas [Trilogy]</cp:lastModifiedBy>
  <cp:revision>3</cp:revision>
  <cp:lastPrinted>1899-12-31T23:00:00Z</cp:lastPrinted>
  <dcterms:created xsi:type="dcterms:W3CDTF">2021-03-08T09:11:00Z</dcterms:created>
  <dcterms:modified xsi:type="dcterms:W3CDTF">2021-03-08T09:12:00Z</dcterms:modified>
</cp:coreProperties>
</file>